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E-resource for GE course </w:t>
      </w:r>
      <w:r w:rsidDel="00000000" w:rsidR="00000000" w:rsidRPr="00000000">
        <w:rPr>
          <w:b w:val="1"/>
          <w:sz w:val="24"/>
          <w:szCs w:val="24"/>
          <w:u w:val="single"/>
          <w:rtl w:val="0"/>
        </w:rPr>
        <w:t xml:space="preserve">Introductory Macroeconomics</w:t>
      </w:r>
      <w:r w:rsidDel="00000000" w:rsidR="00000000" w:rsidRPr="00000000">
        <w:rPr>
          <w:b w:val="1"/>
          <w:sz w:val="24"/>
          <w:szCs w:val="24"/>
          <w:rtl w:val="0"/>
        </w:rPr>
        <w:t xml:space="preserve"> BA Economics 2nd sem</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The detailed reading list is already available to the students. On 17th March, in an interaction with students it was decided to revise and clarify the doubts about the portion already covered in class. For each day, one sub-topic is to be decided from the Unit 4 of the course as specified in the University reading list. As the discussion was not very smooth in absence of Black-board, the subsequent interactions will decide the topics that can be covered. For the session on Wednesday, the derivation of LM curve and the concept of liquidity preference will be revised.</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The readings for this part are books authored by R. T. Froyen, and  Dornbusch, Fisher , Startz. The relevant chapters for unit 4 are mentioned in University reading list. Students already have the hard copy of study material with them..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